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F4CE8" w14:textId="4C5E9222" w:rsidR="00A177C6" w:rsidRDefault="00A177C6" w:rsidP="00EB798D">
      <w:pPr>
        <w:suppressAutoHyphens/>
        <w:spacing w:before="180" w:after="4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US"/>
        </w:rPr>
      </w:pPr>
      <w:r>
        <w:rPr>
          <w:rFonts w:ascii="Arial" w:eastAsia="Times New Roman" w:hAnsi="Arial" w:cs="Times New Roman"/>
          <w:b/>
          <w:sz w:val="24"/>
          <w:szCs w:val="24"/>
          <w:lang w:val="en-US"/>
        </w:rPr>
        <w:t>Frequently Asked Questions</w:t>
      </w:r>
    </w:p>
    <w:p w14:paraId="7D1A0099" w14:textId="77777777" w:rsidR="00EB798D" w:rsidRDefault="00EB798D" w:rsidP="00EB798D">
      <w:pPr>
        <w:suppressAutoHyphens/>
        <w:spacing w:before="180" w:after="4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US"/>
        </w:rPr>
      </w:pPr>
    </w:p>
    <w:p w14:paraId="494924D6" w14:textId="4B6F04DA" w:rsidR="00C70A2C" w:rsidRPr="00C70A2C" w:rsidRDefault="00C70A2C" w:rsidP="00EB798D">
      <w:pPr>
        <w:suppressAutoHyphens/>
        <w:spacing w:before="180" w:after="4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US"/>
        </w:rPr>
      </w:pPr>
      <w:r w:rsidRPr="00C70A2C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Transfer of Channel Life </w:t>
      </w:r>
      <w:r w:rsidR="00626E92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Limited </w:t>
      </w:r>
      <w:r w:rsidRPr="00C70A2C">
        <w:rPr>
          <w:rFonts w:ascii="Arial" w:eastAsia="Times New Roman" w:hAnsi="Arial" w:cs="Times New Roman"/>
          <w:b/>
          <w:sz w:val="24"/>
          <w:szCs w:val="24"/>
          <w:lang w:val="en-US"/>
        </w:rPr>
        <w:t>policies to Sanlam Developing Markets Limited</w:t>
      </w:r>
    </w:p>
    <w:p w14:paraId="161714B7" w14:textId="074C6896" w:rsidR="00C70A2C" w:rsidRPr="00C65685" w:rsidRDefault="00C70A2C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C65685">
        <w:rPr>
          <w:rFonts w:ascii="Arial" w:eastAsia="Times New Roman" w:hAnsi="Arial" w:cs="Times New Roman"/>
          <w:sz w:val="24"/>
          <w:szCs w:val="24"/>
          <w:lang w:val="en-US"/>
        </w:rPr>
        <w:t>Channel Life</w:t>
      </w: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 Limited</w:t>
      </w:r>
      <w:r w:rsidR="00626E92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  <w:r w:rsidR="00A950C5">
        <w:rPr>
          <w:rFonts w:ascii="Arial" w:eastAsia="Times New Roman" w:hAnsi="Arial" w:cs="Times New Roman"/>
          <w:sz w:val="24"/>
          <w:szCs w:val="24"/>
          <w:lang w:val="en-US"/>
        </w:rPr>
        <w:t xml:space="preserve">(“Channel Life”) </w:t>
      </w:r>
      <w:r w:rsidRPr="00C65685">
        <w:rPr>
          <w:rFonts w:ascii="Arial" w:eastAsia="Times New Roman" w:hAnsi="Arial" w:cs="Times New Roman"/>
          <w:sz w:val="24"/>
          <w:szCs w:val="24"/>
          <w:lang w:val="en-US"/>
        </w:rPr>
        <w:t>and Sanlam Developing Markets</w:t>
      </w: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 Limited (</w:t>
      </w:r>
      <w:r w:rsidR="00DE5764">
        <w:rPr>
          <w:rFonts w:ascii="Arial" w:eastAsia="Times New Roman" w:hAnsi="Arial" w:cs="Times New Roman"/>
          <w:sz w:val="24"/>
          <w:szCs w:val="24"/>
          <w:lang w:val="en-US"/>
        </w:rPr>
        <w:t>“</w:t>
      </w:r>
      <w:r w:rsidR="00E54DBC">
        <w:rPr>
          <w:rFonts w:ascii="Arial" w:eastAsia="Times New Roman" w:hAnsi="Arial" w:cs="Times New Roman"/>
          <w:sz w:val="24"/>
          <w:szCs w:val="24"/>
          <w:lang w:val="en-US"/>
        </w:rPr>
        <w:t>SDM</w:t>
      </w:r>
      <w:r w:rsidR="00DE5764">
        <w:rPr>
          <w:rFonts w:ascii="Arial" w:eastAsia="Times New Roman" w:hAnsi="Arial" w:cs="Times New Roman"/>
          <w:sz w:val="24"/>
          <w:szCs w:val="24"/>
          <w:lang w:val="en-US"/>
        </w:rPr>
        <w:t>”</w:t>
      </w:r>
      <w:r w:rsidR="00A950C5">
        <w:rPr>
          <w:rFonts w:ascii="Arial" w:eastAsia="Times New Roman" w:hAnsi="Arial" w:cs="Times New Roman"/>
          <w:sz w:val="24"/>
          <w:szCs w:val="24"/>
          <w:lang w:val="en-US"/>
        </w:rPr>
        <w:t>)</w:t>
      </w:r>
      <w:r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  <w:r w:rsidRPr="00C65685">
        <w:rPr>
          <w:rFonts w:ascii="Arial" w:eastAsia="Times New Roman" w:hAnsi="Arial" w:cs="Times New Roman"/>
          <w:sz w:val="24"/>
          <w:szCs w:val="24"/>
          <w:lang w:val="en-US"/>
        </w:rPr>
        <w:t xml:space="preserve">have entered </w:t>
      </w:r>
      <w:r w:rsidR="005005E2">
        <w:rPr>
          <w:rFonts w:ascii="Arial" w:eastAsia="Times New Roman" w:hAnsi="Arial" w:cs="Times New Roman"/>
          <w:sz w:val="24"/>
          <w:szCs w:val="24"/>
          <w:lang w:val="en-US"/>
        </w:rPr>
        <w:t xml:space="preserve">into </w:t>
      </w:r>
      <w:r w:rsidRPr="00C65685">
        <w:rPr>
          <w:rFonts w:ascii="Arial" w:eastAsia="Times New Roman" w:hAnsi="Arial" w:cs="Times New Roman"/>
          <w:sz w:val="24"/>
          <w:szCs w:val="24"/>
          <w:lang w:val="en-US"/>
        </w:rPr>
        <w:t>a</w:t>
      </w:r>
      <w:r w:rsidR="005005E2">
        <w:rPr>
          <w:rFonts w:ascii="Arial" w:eastAsia="Times New Roman" w:hAnsi="Arial" w:cs="Times New Roman"/>
          <w:sz w:val="24"/>
          <w:szCs w:val="24"/>
          <w:lang w:val="en-US"/>
        </w:rPr>
        <w:t xml:space="preserve"> proposed </w:t>
      </w:r>
      <w:r w:rsidRPr="00C65685">
        <w:rPr>
          <w:rFonts w:ascii="Arial" w:eastAsia="Times New Roman" w:hAnsi="Arial" w:cs="Times New Roman"/>
          <w:sz w:val="24"/>
          <w:szCs w:val="24"/>
          <w:lang w:val="en-US"/>
        </w:rPr>
        <w:t>agreement</w:t>
      </w:r>
      <w:r w:rsidR="005005E2">
        <w:rPr>
          <w:rFonts w:ascii="Arial" w:eastAsia="Times New Roman" w:hAnsi="Arial" w:cs="Times New Roman"/>
          <w:sz w:val="24"/>
          <w:szCs w:val="24"/>
          <w:lang w:val="en-US"/>
        </w:rPr>
        <w:t xml:space="preserve"> whereby all policies currently underwritten by </w:t>
      </w:r>
      <w:r w:rsidR="001B2E75">
        <w:rPr>
          <w:rFonts w:ascii="Arial" w:eastAsia="Times New Roman" w:hAnsi="Arial" w:cs="Times New Roman"/>
          <w:sz w:val="24"/>
          <w:szCs w:val="24"/>
          <w:lang w:val="en-US"/>
        </w:rPr>
        <w:t xml:space="preserve">Channel </w:t>
      </w:r>
      <w:r w:rsidR="00DE5764">
        <w:rPr>
          <w:rFonts w:ascii="Arial" w:eastAsia="Times New Roman" w:hAnsi="Arial" w:cs="Times New Roman"/>
          <w:sz w:val="24"/>
          <w:szCs w:val="24"/>
          <w:lang w:val="en-US"/>
        </w:rPr>
        <w:t>Life</w:t>
      </w:r>
      <w:r w:rsidR="005005E2">
        <w:rPr>
          <w:rFonts w:ascii="Arial" w:eastAsia="Times New Roman" w:hAnsi="Arial" w:cs="Times New Roman"/>
          <w:sz w:val="24"/>
          <w:szCs w:val="24"/>
          <w:lang w:val="en-US"/>
        </w:rPr>
        <w:t>,</w:t>
      </w:r>
      <w:r w:rsidR="00DE5764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  <w:r w:rsidR="001B2E75">
        <w:rPr>
          <w:rFonts w:ascii="Arial" w:eastAsia="Times New Roman" w:hAnsi="Arial" w:cs="Times New Roman"/>
          <w:sz w:val="24"/>
          <w:szCs w:val="24"/>
          <w:lang w:val="en-US"/>
        </w:rPr>
        <w:t xml:space="preserve">will </w:t>
      </w:r>
      <w:r w:rsidR="005005E2">
        <w:rPr>
          <w:rFonts w:ascii="Arial" w:eastAsia="Times New Roman" w:hAnsi="Arial" w:cs="Times New Roman"/>
          <w:sz w:val="24"/>
          <w:szCs w:val="24"/>
          <w:lang w:val="en-US"/>
        </w:rPr>
        <w:t>be transferred to S</w:t>
      </w:r>
      <w:r w:rsidR="00E54DBC">
        <w:rPr>
          <w:rFonts w:ascii="Arial" w:eastAsia="Times New Roman" w:hAnsi="Arial" w:cs="Times New Roman"/>
          <w:sz w:val="24"/>
          <w:szCs w:val="24"/>
          <w:lang w:val="en-US"/>
        </w:rPr>
        <w:t>DM</w:t>
      </w:r>
      <w:r w:rsidRPr="00C65685">
        <w:rPr>
          <w:rFonts w:ascii="Arial" w:eastAsia="Times New Roman" w:hAnsi="Arial" w:cs="Times New Roman"/>
          <w:sz w:val="24"/>
          <w:szCs w:val="24"/>
          <w:lang w:val="en-US"/>
        </w:rPr>
        <w:t>.</w:t>
      </w:r>
      <w:r w:rsidR="00E54DBC" w:rsidRPr="00E54DBC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  <w:r w:rsidR="00E54DBC">
        <w:rPr>
          <w:rFonts w:ascii="Arial" w:eastAsia="Times New Roman" w:hAnsi="Arial" w:cs="Times New Roman"/>
          <w:sz w:val="24"/>
          <w:szCs w:val="24"/>
          <w:lang w:val="en-US"/>
        </w:rPr>
        <w:t>Channel Life and SDM are both wholly owned subsidiaries of Sanlam Life Insurance Limited and form part of the Sanlam Group.</w:t>
      </w:r>
    </w:p>
    <w:p w14:paraId="06B16E03" w14:textId="05D523EB" w:rsidR="005005E2" w:rsidRPr="005005E2" w:rsidRDefault="005005E2" w:rsidP="005005E2">
      <w:pPr>
        <w:suppressAutoHyphens/>
        <w:spacing w:before="180" w:after="40" w:line="360" w:lineRule="auto"/>
        <w:jc w:val="both"/>
        <w:rPr>
          <w:rFonts w:ascii="Arial" w:eastAsia="Times New Roman" w:hAnsi="Arial" w:cs="Times New Roman"/>
          <w:sz w:val="24"/>
          <w:szCs w:val="24"/>
          <w:lang w:val="en-US"/>
        </w:rPr>
      </w:pPr>
      <w:r w:rsidRPr="005005E2">
        <w:rPr>
          <w:rFonts w:ascii="Arial" w:eastAsia="Times New Roman" w:hAnsi="Arial" w:cs="Times New Roman"/>
          <w:sz w:val="24"/>
          <w:szCs w:val="24"/>
          <w:lang w:val="en-US"/>
        </w:rPr>
        <w:t xml:space="preserve">This transfer will take place pending the approval of the Prudential Authority, and </w:t>
      </w:r>
      <w:r w:rsidRPr="005005E2">
        <w:rPr>
          <w:rFonts w:ascii="Arial" w:eastAsia="Times New Roman" w:hAnsi="Arial" w:cs="Arial"/>
          <w:sz w:val="24"/>
          <w:szCs w:val="24"/>
          <w:lang w:val="en-US"/>
        </w:rPr>
        <w:t>if the application to transfer the business from Channel Life to S</w:t>
      </w:r>
      <w:r w:rsidR="00E54DBC">
        <w:rPr>
          <w:rFonts w:ascii="Arial" w:eastAsia="Times New Roman" w:hAnsi="Arial" w:cs="Arial"/>
          <w:sz w:val="24"/>
          <w:szCs w:val="24"/>
          <w:lang w:val="en-US"/>
        </w:rPr>
        <w:t>DM</w:t>
      </w:r>
      <w:r w:rsidRPr="005005E2">
        <w:rPr>
          <w:rFonts w:ascii="Arial" w:eastAsia="Times New Roman" w:hAnsi="Arial" w:cs="Arial"/>
          <w:sz w:val="24"/>
          <w:szCs w:val="24"/>
          <w:lang w:val="en-US"/>
        </w:rPr>
        <w:t xml:space="preserve"> is confirmed, S</w:t>
      </w:r>
      <w:r w:rsidR="00E54DBC">
        <w:rPr>
          <w:rFonts w:ascii="Arial" w:eastAsia="Times New Roman" w:hAnsi="Arial" w:cs="Arial"/>
          <w:sz w:val="24"/>
          <w:szCs w:val="24"/>
          <w:lang w:val="en-US"/>
        </w:rPr>
        <w:t>DM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will be the insurer of all Channel Life policies</w:t>
      </w:r>
      <w:r w:rsidRPr="005005E2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5005E2">
        <w:rPr>
          <w:rFonts w:ascii="Arial" w:eastAsia="Times New Roman" w:hAnsi="Arial" w:cs="Times New Roman"/>
          <w:sz w:val="24"/>
          <w:szCs w:val="24"/>
          <w:lang w:val="en-US"/>
        </w:rPr>
        <w:t xml:space="preserve"> </w:t>
      </w:r>
    </w:p>
    <w:p w14:paraId="022BFAB2" w14:textId="608E139D" w:rsidR="00C70A2C" w:rsidRDefault="00C70A2C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Please find the below FAQs which could answer any questions you may have. </w:t>
      </w:r>
    </w:p>
    <w:p w14:paraId="7EB3C68F" w14:textId="77777777" w:rsidR="002D76E1" w:rsidRDefault="002D76E1" w:rsidP="00933886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C3D2866" w14:textId="775122DF" w:rsidR="00933886" w:rsidRPr="004E47CC" w:rsidRDefault="00933886" w:rsidP="00933886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7CC">
        <w:rPr>
          <w:rFonts w:ascii="Arial" w:eastAsia="Times New Roman" w:hAnsi="Arial" w:cs="Arial"/>
          <w:b/>
          <w:sz w:val="24"/>
          <w:szCs w:val="24"/>
          <w:lang w:val="en-US"/>
        </w:rPr>
        <w:t xml:space="preserve">Why is </w:t>
      </w:r>
      <w:r w:rsidR="00AB46AE">
        <w:rPr>
          <w:rFonts w:ascii="Arial" w:eastAsia="Times New Roman" w:hAnsi="Arial" w:cs="Arial"/>
          <w:b/>
          <w:sz w:val="24"/>
          <w:szCs w:val="24"/>
          <w:lang w:val="en-US"/>
        </w:rPr>
        <w:t>my insurer changing?</w:t>
      </w:r>
    </w:p>
    <w:p w14:paraId="1CFFD06F" w14:textId="434DBBCE" w:rsidR="00933886" w:rsidRDefault="00E54DBC" w:rsidP="00933886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As Channel Life and SDM are both part of the Sanlam Group, the transfer will </w:t>
      </w:r>
      <w:r w:rsidR="00DE5764">
        <w:rPr>
          <w:rFonts w:ascii="Arial" w:eastAsia="Times New Roman" w:hAnsi="Arial" w:cs="Arial"/>
          <w:sz w:val="24"/>
          <w:szCs w:val="24"/>
          <w:lang w:val="en-US"/>
        </w:rPr>
        <w:t>reduce unnecessary duplication of costs and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it will also allow</w:t>
      </w:r>
      <w:r w:rsidR="00CF1631">
        <w:rPr>
          <w:rFonts w:ascii="Arial" w:eastAsia="Times New Roman" w:hAnsi="Arial" w:cs="Arial"/>
          <w:sz w:val="24"/>
          <w:szCs w:val="24"/>
          <w:lang w:val="en-US"/>
        </w:rPr>
        <w:t xml:space="preserve"> for </w:t>
      </w:r>
      <w:r>
        <w:rPr>
          <w:rFonts w:ascii="Arial" w:eastAsia="Times New Roman" w:hAnsi="Arial" w:cs="Arial"/>
          <w:sz w:val="24"/>
          <w:szCs w:val="24"/>
          <w:lang w:val="en-US"/>
        </w:rPr>
        <w:t>better</w:t>
      </w:r>
      <w:r w:rsidR="00DE5764">
        <w:rPr>
          <w:rFonts w:ascii="Arial" w:eastAsia="Times New Roman" w:hAnsi="Arial" w:cs="Arial"/>
          <w:sz w:val="24"/>
          <w:szCs w:val="24"/>
          <w:lang w:val="en-US"/>
        </w:rPr>
        <w:t xml:space="preserve"> compl</w:t>
      </w:r>
      <w:r w:rsidR="00CF1631">
        <w:rPr>
          <w:rFonts w:ascii="Arial" w:eastAsia="Times New Roman" w:hAnsi="Arial" w:cs="Arial"/>
          <w:sz w:val="24"/>
          <w:szCs w:val="24"/>
          <w:lang w:val="en-US"/>
        </w:rPr>
        <w:t>iance</w:t>
      </w:r>
      <w:r w:rsidR="00DE5764">
        <w:rPr>
          <w:rFonts w:ascii="Arial" w:eastAsia="Times New Roman" w:hAnsi="Arial" w:cs="Arial"/>
          <w:sz w:val="24"/>
          <w:szCs w:val="24"/>
          <w:lang w:val="en-US"/>
        </w:rPr>
        <w:t xml:space="preserve"> with the amended regulatory changes. </w:t>
      </w:r>
    </w:p>
    <w:p w14:paraId="41B725D4" w14:textId="77777777" w:rsidR="005005E2" w:rsidRDefault="005005E2" w:rsidP="00611AD8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D80ABF4" w14:textId="45935F2D" w:rsidR="00AB46AE" w:rsidRDefault="00AB46AE" w:rsidP="00933886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9314A">
        <w:rPr>
          <w:rFonts w:ascii="Arial" w:eastAsia="Times New Roman" w:hAnsi="Arial" w:cs="Arial"/>
          <w:b/>
          <w:sz w:val="24"/>
          <w:szCs w:val="24"/>
          <w:lang w:val="en-US"/>
        </w:rPr>
        <w:t>Which policies will be affected by the transfer?</w:t>
      </w:r>
    </w:p>
    <w:p w14:paraId="4487748D" w14:textId="5949407D" w:rsidR="005005E2" w:rsidRDefault="00C810AF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All policies underwritten by Channel Life will be transferred.</w:t>
      </w:r>
    </w:p>
    <w:p w14:paraId="38B35056" w14:textId="77777777" w:rsidR="002D76E1" w:rsidRDefault="002D76E1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CEBF41D" w14:textId="0BBEFB17" w:rsidR="00C70A2C" w:rsidRPr="004E47CC" w:rsidRDefault="00C70A2C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7CC">
        <w:rPr>
          <w:rFonts w:ascii="Arial" w:eastAsia="Times New Roman" w:hAnsi="Arial" w:cs="Arial"/>
          <w:b/>
          <w:sz w:val="24"/>
          <w:szCs w:val="24"/>
          <w:lang w:val="en-US"/>
        </w:rPr>
        <w:t xml:space="preserve">When will the transfer </w:t>
      </w:r>
      <w:r w:rsidR="00BB2521">
        <w:rPr>
          <w:rFonts w:ascii="Arial" w:eastAsia="Times New Roman" w:hAnsi="Arial" w:cs="Arial"/>
          <w:b/>
          <w:sz w:val="24"/>
          <w:szCs w:val="24"/>
          <w:lang w:val="en-US"/>
        </w:rPr>
        <w:t>be effective</w:t>
      </w:r>
      <w:r w:rsidRPr="004E47CC">
        <w:rPr>
          <w:rFonts w:ascii="Arial" w:eastAsia="Times New Roman" w:hAnsi="Arial" w:cs="Arial"/>
          <w:b/>
          <w:sz w:val="24"/>
          <w:szCs w:val="24"/>
          <w:lang w:val="en-US"/>
        </w:rPr>
        <w:t>?</w:t>
      </w:r>
    </w:p>
    <w:p w14:paraId="70E99118" w14:textId="27EAF535" w:rsidR="00933886" w:rsidRDefault="00933886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transfer </w:t>
      </w:r>
      <w:r w:rsidR="00BB2521">
        <w:rPr>
          <w:rFonts w:ascii="Arial" w:eastAsia="Times New Roman" w:hAnsi="Arial" w:cs="Arial"/>
          <w:sz w:val="24"/>
          <w:szCs w:val="24"/>
          <w:lang w:val="en-US"/>
        </w:rPr>
        <w:t>will become effective at a date determined by the Prudential Authority.</w:t>
      </w:r>
    </w:p>
    <w:p w14:paraId="046AABA3" w14:textId="6995F2E1" w:rsidR="002D76E1" w:rsidRDefault="002D76E1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89380F9" w14:textId="77777777" w:rsidR="00EB798D" w:rsidRDefault="00EB798D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D59FA60" w14:textId="4CD78DE0" w:rsidR="00DE5764" w:rsidRDefault="00DE5764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 xml:space="preserve">As a policyholder, do I need to do anything? </w:t>
      </w:r>
    </w:p>
    <w:p w14:paraId="44EB8510" w14:textId="1D01B394" w:rsidR="00646D59" w:rsidRDefault="00DE5764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9314A">
        <w:rPr>
          <w:rFonts w:ascii="Arial" w:eastAsia="Times New Roman" w:hAnsi="Arial" w:cs="Arial"/>
          <w:sz w:val="24"/>
          <w:szCs w:val="24"/>
          <w:lang w:val="en-US"/>
        </w:rPr>
        <w:t>No,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the transfer will be automatic and no action is required from you.</w:t>
      </w:r>
    </w:p>
    <w:p w14:paraId="7E09CA21" w14:textId="77777777" w:rsidR="002D76E1" w:rsidRDefault="002D76E1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B70358D" w14:textId="70656CBF" w:rsidR="00C70A2C" w:rsidRPr="004E47CC" w:rsidRDefault="00A950C5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How d</w:t>
      </w:r>
      <w:r w:rsidR="00C70A2C" w:rsidRPr="004E47CC">
        <w:rPr>
          <w:rFonts w:ascii="Arial" w:eastAsia="Times New Roman" w:hAnsi="Arial" w:cs="Arial"/>
          <w:b/>
          <w:sz w:val="24"/>
          <w:szCs w:val="24"/>
          <w:lang w:val="en-US"/>
        </w:rPr>
        <w:t>oes this impact my policy and benefits?</w:t>
      </w:r>
    </w:p>
    <w:p w14:paraId="32C17214" w14:textId="0AF6880B" w:rsidR="00E02ABB" w:rsidRDefault="005005E2" w:rsidP="00BA4CE0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Th</w:t>
      </w:r>
      <w:r w:rsidR="00E02ABB">
        <w:rPr>
          <w:rFonts w:ascii="Arial" w:eastAsia="Times New Roman" w:hAnsi="Arial" w:cs="Arial"/>
          <w:sz w:val="24"/>
          <w:szCs w:val="24"/>
          <w:lang w:val="en-US"/>
        </w:rPr>
        <w:t>is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will not impact</w:t>
      </w:r>
      <w:r w:rsidRPr="005005E2">
        <w:rPr>
          <w:rFonts w:ascii="Arial" w:eastAsia="Times New Roman" w:hAnsi="Arial" w:cs="Arial"/>
          <w:sz w:val="24"/>
          <w:szCs w:val="24"/>
          <w:lang w:val="en-US"/>
        </w:rPr>
        <w:t xml:space="preserve"> your benefits in terms of your Chan</w:t>
      </w:r>
      <w:r>
        <w:rPr>
          <w:rFonts w:ascii="Arial" w:eastAsia="Times New Roman" w:hAnsi="Arial" w:cs="Arial"/>
          <w:sz w:val="24"/>
          <w:szCs w:val="24"/>
          <w:lang w:val="en-US"/>
        </w:rPr>
        <w:t>nel Life policy.  Y</w:t>
      </w:r>
      <w:r w:rsidRPr="005005E2">
        <w:rPr>
          <w:rFonts w:ascii="Arial" w:eastAsia="Times New Roman" w:hAnsi="Arial" w:cs="Arial"/>
          <w:sz w:val="24"/>
          <w:szCs w:val="24"/>
          <w:lang w:val="en-US"/>
        </w:rPr>
        <w:t xml:space="preserve">our premium structure will remain the same and the terms and conditions will not change. </w:t>
      </w:r>
      <w:r w:rsidRPr="005005E2">
        <w:rPr>
          <w:rFonts w:ascii="Arial" w:eastAsia="Times New Roman" w:hAnsi="Arial" w:cs="Times New Roman"/>
          <w:sz w:val="24"/>
          <w:szCs w:val="24"/>
          <w:lang w:val="en-US"/>
        </w:rPr>
        <w:t>The transfer will be automatic and no action is required on your behalf</w:t>
      </w:r>
      <w:r w:rsidR="00E02ABB">
        <w:rPr>
          <w:rFonts w:ascii="Arial" w:eastAsia="Times New Roman" w:hAnsi="Arial" w:cs="Times New Roman"/>
          <w:sz w:val="24"/>
          <w:szCs w:val="24"/>
          <w:lang w:val="en-US"/>
        </w:rPr>
        <w:t>.</w:t>
      </w:r>
    </w:p>
    <w:p w14:paraId="172503F9" w14:textId="77777777" w:rsidR="0034133F" w:rsidRDefault="0034133F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4C4A23BE" w14:textId="12B72577" w:rsidR="00C70A2C" w:rsidRPr="004E47CC" w:rsidRDefault="00C70A2C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7CC">
        <w:rPr>
          <w:rFonts w:ascii="Arial" w:eastAsia="Times New Roman" w:hAnsi="Arial" w:cs="Arial"/>
          <w:b/>
          <w:sz w:val="24"/>
          <w:szCs w:val="24"/>
          <w:lang w:val="en-US"/>
        </w:rPr>
        <w:t>Who will</w:t>
      </w:r>
      <w:r w:rsidR="00AB46AE">
        <w:rPr>
          <w:rFonts w:ascii="Arial" w:eastAsia="Times New Roman" w:hAnsi="Arial" w:cs="Arial"/>
          <w:b/>
          <w:sz w:val="24"/>
          <w:szCs w:val="24"/>
          <w:lang w:val="en-US"/>
        </w:rPr>
        <w:t xml:space="preserve"> be my new insurer going forward?</w:t>
      </w:r>
    </w:p>
    <w:p w14:paraId="5349FE8C" w14:textId="65530948" w:rsidR="00C70A2C" w:rsidRDefault="004E47CC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E54DBC">
        <w:rPr>
          <w:rFonts w:ascii="Arial" w:eastAsia="Times New Roman" w:hAnsi="Arial" w:cs="Arial"/>
          <w:sz w:val="24"/>
          <w:szCs w:val="24"/>
          <w:lang w:val="en-US"/>
        </w:rPr>
        <w:t>DM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will </w:t>
      </w:r>
      <w:r w:rsidR="00C810AF">
        <w:rPr>
          <w:rFonts w:ascii="Arial" w:eastAsia="Times New Roman" w:hAnsi="Arial" w:cs="Arial"/>
          <w:sz w:val="24"/>
          <w:szCs w:val="24"/>
          <w:lang w:val="en-US"/>
        </w:rPr>
        <w:t xml:space="preserve">be the new </w:t>
      </w:r>
      <w:r w:rsidR="00BB2521">
        <w:rPr>
          <w:rFonts w:ascii="Arial" w:eastAsia="Times New Roman" w:hAnsi="Arial" w:cs="Arial"/>
          <w:sz w:val="24"/>
          <w:szCs w:val="24"/>
          <w:lang w:val="en-US"/>
        </w:rPr>
        <w:t xml:space="preserve">insurer </w:t>
      </w:r>
      <w:r w:rsidR="00C810AF">
        <w:rPr>
          <w:rFonts w:ascii="Arial" w:eastAsia="Times New Roman" w:hAnsi="Arial" w:cs="Arial"/>
          <w:sz w:val="24"/>
          <w:szCs w:val="24"/>
          <w:lang w:val="en-US"/>
        </w:rPr>
        <w:t xml:space="preserve">of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all Channel Life policies from the date of transfer. </w:t>
      </w:r>
      <w:r w:rsidR="00E02ABB">
        <w:rPr>
          <w:rFonts w:ascii="Arial" w:eastAsia="Times New Roman" w:hAnsi="Arial" w:cs="Arial"/>
          <w:sz w:val="24"/>
          <w:szCs w:val="24"/>
          <w:lang w:val="en-US"/>
        </w:rPr>
        <w:t xml:space="preserve">All contact information and claim processes will stay the same. </w:t>
      </w:r>
    </w:p>
    <w:p w14:paraId="58B7287C" w14:textId="77777777" w:rsidR="00720758" w:rsidRDefault="00720758" w:rsidP="00720758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598FEE8" w14:textId="777ACF5D" w:rsidR="00720758" w:rsidRPr="004E47CC" w:rsidRDefault="00720758" w:rsidP="00720758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7CC">
        <w:rPr>
          <w:rFonts w:ascii="Arial" w:eastAsia="Times New Roman" w:hAnsi="Arial" w:cs="Arial"/>
          <w:b/>
          <w:sz w:val="24"/>
          <w:szCs w:val="24"/>
          <w:lang w:val="en-US"/>
        </w:rPr>
        <w:t xml:space="preserve">Will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my </w:t>
      </w:r>
      <w:r w:rsidRPr="004E47CC">
        <w:rPr>
          <w:rFonts w:ascii="Arial" w:eastAsia="Times New Roman" w:hAnsi="Arial" w:cs="Arial"/>
          <w:b/>
          <w:sz w:val="24"/>
          <w:szCs w:val="24"/>
          <w:lang w:val="en-US"/>
        </w:rPr>
        <w:t>financial adviser</w:t>
      </w:r>
      <w:r w:rsidR="00C810AF">
        <w:rPr>
          <w:rFonts w:ascii="Arial" w:eastAsia="Times New Roman" w:hAnsi="Arial" w:cs="Arial"/>
          <w:b/>
          <w:sz w:val="24"/>
          <w:szCs w:val="24"/>
          <w:lang w:val="en-US"/>
        </w:rPr>
        <w:t>/broker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change</w:t>
      </w:r>
      <w:r w:rsidRPr="004E47CC">
        <w:rPr>
          <w:rFonts w:ascii="Arial" w:eastAsia="Times New Roman" w:hAnsi="Arial" w:cs="Arial"/>
          <w:b/>
          <w:sz w:val="24"/>
          <w:szCs w:val="24"/>
          <w:lang w:val="en-US"/>
        </w:rPr>
        <w:t xml:space="preserve">? </w:t>
      </w:r>
    </w:p>
    <w:p w14:paraId="5977C64C" w14:textId="4B05D3EA" w:rsidR="00720758" w:rsidRDefault="00E02ABB" w:rsidP="00720758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No, y</w:t>
      </w:r>
      <w:r w:rsidR="0017472C">
        <w:rPr>
          <w:rFonts w:ascii="Arial" w:eastAsia="Times New Roman" w:hAnsi="Arial" w:cs="Arial"/>
          <w:sz w:val="24"/>
          <w:szCs w:val="24"/>
          <w:lang w:val="en-US"/>
        </w:rPr>
        <w:t xml:space="preserve">our </w:t>
      </w:r>
      <w:r w:rsidR="00720758">
        <w:rPr>
          <w:rFonts w:ascii="Arial" w:eastAsia="Times New Roman" w:hAnsi="Arial" w:cs="Arial"/>
          <w:sz w:val="24"/>
          <w:szCs w:val="24"/>
          <w:lang w:val="en-US"/>
        </w:rPr>
        <w:t>financial adviser</w:t>
      </w:r>
      <w:r w:rsidR="00C810AF">
        <w:rPr>
          <w:rFonts w:ascii="Arial" w:eastAsia="Times New Roman" w:hAnsi="Arial" w:cs="Arial"/>
          <w:sz w:val="24"/>
          <w:szCs w:val="24"/>
          <w:lang w:val="en-US"/>
        </w:rPr>
        <w:t>/broker</w:t>
      </w:r>
      <w:r w:rsidR="00720758">
        <w:rPr>
          <w:rFonts w:ascii="Arial" w:eastAsia="Times New Roman" w:hAnsi="Arial" w:cs="Arial"/>
          <w:sz w:val="24"/>
          <w:szCs w:val="24"/>
          <w:lang w:val="en-US"/>
        </w:rPr>
        <w:t xml:space="preserve"> will stay the same. </w:t>
      </w:r>
    </w:p>
    <w:p w14:paraId="62FF3E67" w14:textId="77777777" w:rsidR="00720758" w:rsidRDefault="00720758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509EBBA" w14:textId="4B5BF3C9" w:rsidR="004E47CC" w:rsidRPr="004E47CC" w:rsidRDefault="00E02ABB" w:rsidP="004E47C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What steps are involved in this</w:t>
      </w:r>
      <w:r w:rsidR="004E47CC" w:rsidRPr="004E47CC">
        <w:rPr>
          <w:rFonts w:ascii="Arial" w:eastAsia="Times New Roman" w:hAnsi="Arial" w:cs="Arial"/>
          <w:b/>
          <w:sz w:val="24"/>
          <w:szCs w:val="24"/>
          <w:lang w:val="en-US"/>
        </w:rPr>
        <w:t xml:space="preserve"> transfer?</w:t>
      </w:r>
    </w:p>
    <w:p w14:paraId="409FFD8C" w14:textId="17CC5E3C" w:rsidR="0017472C" w:rsidRDefault="00C810AF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Channel Life submitted an application to the </w:t>
      </w:r>
      <w:r w:rsidR="00BB2521">
        <w:rPr>
          <w:rFonts w:ascii="Arial" w:eastAsia="Times New Roman" w:hAnsi="Arial" w:cs="Arial"/>
          <w:sz w:val="24"/>
          <w:szCs w:val="24"/>
          <w:lang w:val="en-US"/>
        </w:rPr>
        <w:t xml:space="preserve">Authorities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requesting the transfer of the policies to </w:t>
      </w:r>
      <w:r w:rsidR="00CF1631">
        <w:rPr>
          <w:rFonts w:ascii="Arial" w:eastAsia="Times New Roman" w:hAnsi="Arial" w:cs="Arial"/>
          <w:sz w:val="24"/>
          <w:szCs w:val="24"/>
          <w:lang w:val="en-US"/>
        </w:rPr>
        <w:t>SDM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. The </w:t>
      </w:r>
      <w:r w:rsidR="00BB2521">
        <w:rPr>
          <w:rFonts w:ascii="Arial" w:eastAsia="Times New Roman" w:hAnsi="Arial" w:cs="Arial"/>
          <w:sz w:val="24"/>
          <w:szCs w:val="24"/>
          <w:lang w:val="en-US"/>
        </w:rPr>
        <w:t xml:space="preserve">Authorities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have requested Channel Life to submit specific documentation to ensure that the transfer does not </w:t>
      </w:r>
      <w:r w:rsidR="00681B74">
        <w:rPr>
          <w:rFonts w:ascii="Arial" w:eastAsia="Times New Roman" w:hAnsi="Arial" w:cs="Arial"/>
          <w:sz w:val="24"/>
          <w:szCs w:val="24"/>
          <w:lang w:val="en-US"/>
        </w:rPr>
        <w:t xml:space="preserve">negatively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affect you as the policyholder. The </w:t>
      </w:r>
      <w:r w:rsidR="00BB2521">
        <w:rPr>
          <w:rFonts w:ascii="Arial" w:eastAsia="Times New Roman" w:hAnsi="Arial" w:cs="Arial"/>
          <w:sz w:val="24"/>
          <w:szCs w:val="24"/>
          <w:lang w:val="en-US"/>
        </w:rPr>
        <w:t xml:space="preserve">Authorities </w:t>
      </w:r>
      <w:r>
        <w:rPr>
          <w:rFonts w:ascii="Arial" w:eastAsia="Times New Roman" w:hAnsi="Arial" w:cs="Arial"/>
          <w:sz w:val="24"/>
          <w:szCs w:val="24"/>
          <w:lang w:val="en-US"/>
        </w:rPr>
        <w:t>will then review all the documents and inform us whether the transfer can take place</w:t>
      </w:r>
      <w:r w:rsidR="00CF1631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0955B72" w14:textId="77777777" w:rsidR="002D76E1" w:rsidRDefault="002D76E1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C469595" w14:textId="6D7C31F4" w:rsidR="00C70A2C" w:rsidRPr="004E47CC" w:rsidRDefault="00C70A2C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7CC">
        <w:rPr>
          <w:rFonts w:ascii="Arial" w:eastAsia="Times New Roman" w:hAnsi="Arial" w:cs="Arial"/>
          <w:b/>
          <w:sz w:val="24"/>
          <w:szCs w:val="24"/>
          <w:lang w:val="en-US"/>
        </w:rPr>
        <w:t>Do I need to give consent to the transfer and can I stop the transfer?</w:t>
      </w:r>
    </w:p>
    <w:p w14:paraId="0AE53DF6" w14:textId="5943C834" w:rsidR="00C70A2C" w:rsidRDefault="00C810AF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No consent is needed for a transfer in terms of section 50 of the Insurance Act. If you however object to the transfer</w:t>
      </w:r>
      <w:r w:rsidR="00CF1631">
        <w:rPr>
          <w:rFonts w:ascii="Arial" w:eastAsia="Times New Roman" w:hAnsi="Arial" w:cs="Arial"/>
          <w:sz w:val="24"/>
          <w:szCs w:val="24"/>
          <w:lang w:val="en-US"/>
        </w:rPr>
        <w:t>,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you can </w:t>
      </w:r>
      <w:r w:rsidRPr="00A82BDD">
        <w:rPr>
          <w:rFonts w:ascii="Arial" w:eastAsia="Times New Roman" w:hAnsi="Arial" w:cs="Arial"/>
          <w:sz w:val="24"/>
          <w:szCs w:val="24"/>
          <w:lang w:val="en-US"/>
        </w:rPr>
        <w:t xml:space="preserve">submit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a </w:t>
      </w:r>
      <w:r w:rsidRPr="00A82BDD">
        <w:rPr>
          <w:rFonts w:ascii="Arial" w:eastAsia="Times New Roman" w:hAnsi="Arial" w:cs="Arial"/>
          <w:sz w:val="24"/>
          <w:szCs w:val="24"/>
          <w:lang w:val="en-US"/>
        </w:rPr>
        <w:t xml:space="preserve">representation to the Prudential Authority concerning the proposed substitution transaction. This must be done within </w:t>
      </w:r>
      <w:r w:rsidRPr="00A82BDD">
        <w:rPr>
          <w:rFonts w:ascii="Arial" w:eastAsia="Times New Roman" w:hAnsi="Arial" w:cs="Arial"/>
          <w:sz w:val="24"/>
          <w:szCs w:val="24"/>
          <w:lang w:val="en-US"/>
        </w:rPr>
        <w:lastRenderedPageBreak/>
        <w:t>15 days of the date of publication of the Proposed Transfer notice in the Government Gazette on</w:t>
      </w:r>
      <w:r w:rsidR="001E039D">
        <w:rPr>
          <w:rFonts w:ascii="Arial" w:eastAsia="Times New Roman" w:hAnsi="Arial" w:cs="Arial"/>
          <w:sz w:val="24"/>
          <w:szCs w:val="24"/>
          <w:lang w:val="en-US"/>
        </w:rPr>
        <w:t xml:space="preserve"> 20 March 2020</w:t>
      </w:r>
      <w:r w:rsidR="00CF1631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9393870" w14:textId="77777777" w:rsidR="002D76E1" w:rsidRDefault="002D76E1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786CF20" w14:textId="182D3439" w:rsidR="00C70A2C" w:rsidRPr="004E47CC" w:rsidRDefault="00C70A2C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7CC">
        <w:rPr>
          <w:rFonts w:ascii="Arial" w:eastAsia="Times New Roman" w:hAnsi="Arial" w:cs="Arial"/>
          <w:b/>
          <w:sz w:val="24"/>
          <w:szCs w:val="24"/>
          <w:lang w:val="en-US"/>
        </w:rPr>
        <w:t xml:space="preserve">Where can I find more information about the transfer? </w:t>
      </w:r>
    </w:p>
    <w:p w14:paraId="18167865" w14:textId="77777777" w:rsidR="00CF1631" w:rsidRPr="00CF1631" w:rsidRDefault="00CF1631" w:rsidP="00CF1631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F1631">
        <w:rPr>
          <w:rFonts w:ascii="Arial" w:eastAsia="Times New Roman" w:hAnsi="Arial" w:cs="Arial"/>
          <w:sz w:val="24"/>
          <w:szCs w:val="24"/>
          <w:lang w:val="en-US"/>
        </w:rPr>
        <w:t>Copies of all documentation relating to this transaction are available on the Sanlam website (</w:t>
      </w:r>
      <w:hyperlink r:id="rId9" w:history="1">
        <w:r w:rsidRPr="00CF1631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val="en-US"/>
          </w:rPr>
          <w:t>www.sanlam.co.za</w:t>
        </w:r>
      </w:hyperlink>
      <w:r w:rsidRPr="00CF1631">
        <w:rPr>
          <w:rFonts w:ascii="Arial" w:eastAsia="Times New Roman" w:hAnsi="Arial" w:cs="Arial"/>
          <w:sz w:val="24"/>
          <w:szCs w:val="24"/>
          <w:lang w:val="en-US"/>
        </w:rPr>
        <w:t xml:space="preserve">). </w:t>
      </w:r>
    </w:p>
    <w:p w14:paraId="5EED34D3" w14:textId="158C97B0" w:rsidR="008F20AD" w:rsidRDefault="008F20AD" w:rsidP="008F20AD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They </w:t>
      </w:r>
      <w:r w:rsidRPr="00947172">
        <w:rPr>
          <w:rFonts w:ascii="Arial" w:eastAsia="Times New Roman" w:hAnsi="Arial" w:cs="Arial"/>
          <w:sz w:val="24"/>
          <w:szCs w:val="24"/>
          <w:lang w:val="en-US"/>
        </w:rPr>
        <w:t xml:space="preserve">will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also </w:t>
      </w:r>
      <w:r w:rsidRPr="00947172">
        <w:rPr>
          <w:rFonts w:ascii="Arial" w:eastAsia="Times New Roman" w:hAnsi="Arial" w:cs="Arial"/>
          <w:sz w:val="24"/>
          <w:szCs w:val="24"/>
          <w:lang w:val="en-US"/>
        </w:rPr>
        <w:t>be available for inspection for</w:t>
      </w:r>
      <w:r w:rsidR="001E039D">
        <w:rPr>
          <w:rFonts w:ascii="Arial" w:eastAsia="Times New Roman" w:hAnsi="Arial" w:cs="Arial"/>
          <w:sz w:val="24"/>
          <w:szCs w:val="24"/>
          <w:lang w:val="en-US"/>
        </w:rPr>
        <w:t xml:space="preserve"> a period of 15 days from 20 March 2020</w:t>
      </w:r>
      <w:r w:rsidRPr="00947172">
        <w:rPr>
          <w:rFonts w:ascii="Arial" w:eastAsia="Times New Roman" w:hAnsi="Arial" w:cs="Arial"/>
          <w:sz w:val="24"/>
          <w:szCs w:val="24"/>
          <w:lang w:val="en-US"/>
        </w:rPr>
        <w:t xml:space="preserve"> until </w:t>
      </w:r>
      <w:r w:rsidR="001E039D">
        <w:rPr>
          <w:rFonts w:ascii="Arial" w:eastAsia="Times New Roman" w:hAnsi="Arial" w:cs="Arial"/>
          <w:sz w:val="24"/>
          <w:szCs w:val="24"/>
          <w:lang w:val="en-US"/>
        </w:rPr>
        <w:t>9 April 2020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at the following Sanlam offices:</w:t>
      </w:r>
    </w:p>
    <w:p w14:paraId="4D105CCA" w14:textId="77777777" w:rsidR="008F20AD" w:rsidRPr="00A40DF6" w:rsidRDefault="008F20AD" w:rsidP="008F2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0DF6">
        <w:rPr>
          <w:rFonts w:ascii="Arial" w:hAnsi="Arial" w:cs="Arial"/>
          <w:sz w:val="24"/>
          <w:szCs w:val="24"/>
        </w:rPr>
        <w:t xml:space="preserve">Corner of Oxford &amp; </w:t>
      </w:r>
      <w:proofErr w:type="spellStart"/>
      <w:r w:rsidRPr="00A40DF6">
        <w:rPr>
          <w:rFonts w:ascii="Arial" w:hAnsi="Arial" w:cs="Arial"/>
          <w:sz w:val="24"/>
          <w:szCs w:val="24"/>
        </w:rPr>
        <w:t>Glenhove</w:t>
      </w:r>
      <w:proofErr w:type="spellEnd"/>
      <w:r w:rsidRPr="00A40DF6">
        <w:rPr>
          <w:rFonts w:ascii="Arial" w:hAnsi="Arial" w:cs="Arial"/>
          <w:sz w:val="24"/>
          <w:szCs w:val="24"/>
        </w:rPr>
        <w:t>, 116 Oxford Road, Block A, 1</w:t>
      </w:r>
      <w:r w:rsidRPr="00A40DF6">
        <w:rPr>
          <w:rFonts w:ascii="Arial" w:hAnsi="Arial" w:cs="Arial"/>
          <w:sz w:val="24"/>
          <w:szCs w:val="24"/>
          <w:vertAlign w:val="superscript"/>
        </w:rPr>
        <w:t>st</w:t>
      </w:r>
      <w:r w:rsidRPr="00A40DF6">
        <w:rPr>
          <w:rFonts w:ascii="Arial" w:hAnsi="Arial" w:cs="Arial"/>
          <w:sz w:val="24"/>
          <w:szCs w:val="24"/>
        </w:rPr>
        <w:t xml:space="preserve"> Floor, Rosebank, Johannesburg, 2196; and</w:t>
      </w:r>
    </w:p>
    <w:p w14:paraId="2AB3FCAA" w14:textId="11247317" w:rsidR="002D76E1" w:rsidRPr="008F20AD" w:rsidRDefault="008F20AD" w:rsidP="008F2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40DF6">
        <w:rPr>
          <w:rFonts w:ascii="Arial" w:hAnsi="Arial" w:cs="Arial"/>
          <w:sz w:val="24"/>
          <w:szCs w:val="24"/>
        </w:rPr>
        <w:t>13 West Street, Houghton Johannesburg, 2196.</w:t>
      </w:r>
    </w:p>
    <w:p w14:paraId="124CEC64" w14:textId="2B45AABE" w:rsidR="0017472C" w:rsidRPr="0017472C" w:rsidRDefault="0017472C" w:rsidP="001747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7472C">
        <w:rPr>
          <w:rFonts w:ascii="Arial" w:eastAsia="Times New Roman" w:hAnsi="Arial" w:cs="Arial"/>
          <w:sz w:val="24"/>
          <w:szCs w:val="24"/>
          <w:lang w:val="en-US"/>
        </w:rPr>
        <w:t>The</w:t>
      </w:r>
      <w:r w:rsidR="00CF1631">
        <w:rPr>
          <w:rFonts w:ascii="Arial" w:eastAsia="Times New Roman" w:hAnsi="Arial" w:cs="Arial"/>
          <w:sz w:val="24"/>
          <w:szCs w:val="24"/>
          <w:lang w:val="en-US"/>
        </w:rPr>
        <w:t xml:space="preserve"> documents include</w:t>
      </w:r>
      <w:r w:rsidRPr="0017472C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14:paraId="4A861CEC" w14:textId="77777777" w:rsidR="00BA464E" w:rsidRPr="00BA464E" w:rsidRDefault="00BA464E" w:rsidP="0030349F">
      <w:pPr>
        <w:numPr>
          <w:ilvl w:val="0"/>
          <w:numId w:val="1"/>
        </w:num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A464E">
        <w:rPr>
          <w:rFonts w:ascii="Arial" w:eastAsia="Times New Roman" w:hAnsi="Arial" w:cs="Arial"/>
          <w:sz w:val="24"/>
          <w:szCs w:val="24"/>
          <w:lang w:val="en-US"/>
        </w:rPr>
        <w:t>Copy of policyholder letter</w:t>
      </w:r>
    </w:p>
    <w:p w14:paraId="16105DCF" w14:textId="59E1B062" w:rsidR="00BA464E" w:rsidRPr="00BA464E" w:rsidRDefault="00BA464E" w:rsidP="0030349F">
      <w:pPr>
        <w:numPr>
          <w:ilvl w:val="0"/>
          <w:numId w:val="1"/>
        </w:num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A464E">
        <w:rPr>
          <w:rFonts w:ascii="Arial" w:eastAsia="Times New Roman" w:hAnsi="Arial" w:cs="Arial"/>
          <w:sz w:val="24"/>
          <w:szCs w:val="24"/>
          <w:lang w:val="en-US"/>
        </w:rPr>
        <w:t>FAQ document</w:t>
      </w:r>
    </w:p>
    <w:p w14:paraId="0CEB7A09" w14:textId="77777777" w:rsidR="00BA464E" w:rsidRPr="00BA464E" w:rsidRDefault="00BA464E" w:rsidP="0030349F">
      <w:pPr>
        <w:numPr>
          <w:ilvl w:val="0"/>
          <w:numId w:val="1"/>
        </w:num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A464E">
        <w:rPr>
          <w:rFonts w:ascii="Arial" w:eastAsia="Times New Roman" w:hAnsi="Arial" w:cs="Arial"/>
          <w:sz w:val="24"/>
          <w:szCs w:val="24"/>
          <w:lang w:val="en-US"/>
        </w:rPr>
        <w:t>Formal notice – newspaper</w:t>
      </w:r>
    </w:p>
    <w:p w14:paraId="3E420997" w14:textId="40B568B6" w:rsidR="00BA464E" w:rsidRDefault="00BA464E" w:rsidP="00BA464E">
      <w:pPr>
        <w:numPr>
          <w:ilvl w:val="0"/>
          <w:numId w:val="1"/>
        </w:num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BA464E">
        <w:rPr>
          <w:rFonts w:ascii="Arial" w:eastAsia="Times New Roman" w:hAnsi="Arial" w:cs="Arial"/>
          <w:sz w:val="24"/>
          <w:szCs w:val="24"/>
          <w:lang w:val="en-US"/>
        </w:rPr>
        <w:t>Formal notice – Government Gazette</w:t>
      </w:r>
    </w:p>
    <w:p w14:paraId="711ECFD5" w14:textId="3CCA6E77" w:rsidR="00AB46AE" w:rsidRDefault="00681B74" w:rsidP="0017472C">
      <w:pPr>
        <w:numPr>
          <w:ilvl w:val="0"/>
          <w:numId w:val="1"/>
        </w:num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Application </w:t>
      </w:r>
      <w:r w:rsidR="00AB46AE">
        <w:rPr>
          <w:rFonts w:ascii="Arial" w:eastAsia="Times New Roman" w:hAnsi="Arial" w:cs="Arial"/>
          <w:sz w:val="24"/>
          <w:szCs w:val="24"/>
          <w:lang w:val="en-US"/>
        </w:rPr>
        <w:t>to the Prudential Authority</w:t>
      </w:r>
      <w:r w:rsidR="009B0022">
        <w:rPr>
          <w:rFonts w:ascii="Arial" w:eastAsia="Times New Roman" w:hAnsi="Arial" w:cs="Arial"/>
          <w:sz w:val="24"/>
          <w:szCs w:val="24"/>
          <w:lang w:val="en-US"/>
        </w:rPr>
        <w:t>,</w:t>
      </w:r>
    </w:p>
    <w:p w14:paraId="2C15849B" w14:textId="1538FB8A" w:rsidR="0017472C" w:rsidRPr="0017472C" w:rsidRDefault="002D76E1" w:rsidP="0017472C">
      <w:pPr>
        <w:numPr>
          <w:ilvl w:val="0"/>
          <w:numId w:val="1"/>
        </w:num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17472C" w:rsidRPr="0017472C">
        <w:rPr>
          <w:rFonts w:ascii="Arial" w:eastAsia="Times New Roman" w:hAnsi="Arial" w:cs="Arial"/>
          <w:sz w:val="24"/>
          <w:szCs w:val="24"/>
          <w:lang w:val="en-US"/>
        </w:rPr>
        <w:t xml:space="preserve">greement to transfer the business, </w:t>
      </w:r>
    </w:p>
    <w:p w14:paraId="508D04B3" w14:textId="43865303" w:rsidR="0017472C" w:rsidRDefault="009B0022" w:rsidP="0017472C">
      <w:pPr>
        <w:numPr>
          <w:ilvl w:val="0"/>
          <w:numId w:val="1"/>
        </w:num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Annual Financial Statements for the year ended 31 December 2018 for both Channel Life and SDM</w:t>
      </w:r>
      <w:r w:rsidR="0017472C" w:rsidRPr="0017472C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</w:p>
    <w:p w14:paraId="065DBBE5" w14:textId="449E82D9" w:rsidR="009B0022" w:rsidRDefault="009B0022" w:rsidP="0017472C">
      <w:pPr>
        <w:numPr>
          <w:ilvl w:val="0"/>
          <w:numId w:val="1"/>
        </w:num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Extracts from prudential Quantitative Regulatory Returns at 31 December 2018 for both Channel Life and SDM, both pre- and post-transfer,</w:t>
      </w:r>
    </w:p>
    <w:p w14:paraId="100EA20A" w14:textId="6F77A0D5" w:rsidR="009B0022" w:rsidRPr="0017472C" w:rsidRDefault="009B0022" w:rsidP="0017472C">
      <w:pPr>
        <w:numPr>
          <w:ilvl w:val="0"/>
          <w:numId w:val="1"/>
        </w:num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Letters and formal notices sent,</w:t>
      </w:r>
    </w:p>
    <w:p w14:paraId="4CFA316D" w14:textId="7F65869E" w:rsidR="0017472C" w:rsidRPr="0017472C" w:rsidRDefault="002D76E1" w:rsidP="0017472C">
      <w:pPr>
        <w:numPr>
          <w:ilvl w:val="0"/>
          <w:numId w:val="1"/>
        </w:num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R</w:t>
      </w:r>
      <w:r w:rsidR="0017472C" w:rsidRPr="0017472C">
        <w:rPr>
          <w:rFonts w:ascii="Arial" w:eastAsia="Times New Roman" w:hAnsi="Arial" w:cs="Arial"/>
          <w:sz w:val="24"/>
          <w:szCs w:val="24"/>
          <w:lang w:val="en-US"/>
        </w:rPr>
        <w:t xml:space="preserve">eports by the </w:t>
      </w:r>
      <w:r w:rsidR="00681B74">
        <w:rPr>
          <w:rFonts w:ascii="Arial" w:eastAsia="Times New Roman" w:hAnsi="Arial" w:cs="Arial"/>
          <w:sz w:val="24"/>
          <w:szCs w:val="24"/>
          <w:lang w:val="en-US"/>
        </w:rPr>
        <w:t>Head of Actuarial Function</w:t>
      </w:r>
      <w:r w:rsidR="0017472C" w:rsidRPr="0017472C">
        <w:rPr>
          <w:rFonts w:ascii="Arial" w:eastAsia="Times New Roman" w:hAnsi="Arial" w:cs="Arial"/>
          <w:sz w:val="24"/>
          <w:szCs w:val="24"/>
          <w:lang w:val="en-US"/>
        </w:rPr>
        <w:t xml:space="preserve"> of both Channel Life and </w:t>
      </w:r>
      <w:r w:rsidR="00681B74">
        <w:rPr>
          <w:rFonts w:ascii="Arial" w:eastAsia="Times New Roman" w:hAnsi="Arial" w:cs="Arial"/>
          <w:sz w:val="24"/>
          <w:szCs w:val="24"/>
          <w:lang w:val="en-US"/>
        </w:rPr>
        <w:t>SDM</w:t>
      </w:r>
      <w:r w:rsidR="0017472C" w:rsidRPr="0017472C">
        <w:rPr>
          <w:rFonts w:ascii="Arial" w:eastAsia="Times New Roman" w:hAnsi="Arial" w:cs="Arial"/>
          <w:sz w:val="24"/>
          <w:szCs w:val="24"/>
          <w:lang w:val="en-US"/>
        </w:rPr>
        <w:t xml:space="preserve">, as well as </w:t>
      </w:r>
    </w:p>
    <w:p w14:paraId="3546F9BE" w14:textId="7AD91FDF" w:rsidR="0017472C" w:rsidRPr="0017472C" w:rsidRDefault="002D76E1" w:rsidP="0017472C">
      <w:pPr>
        <w:numPr>
          <w:ilvl w:val="0"/>
          <w:numId w:val="1"/>
        </w:num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R</w:t>
      </w:r>
      <w:r w:rsidR="0017472C" w:rsidRPr="0017472C">
        <w:rPr>
          <w:rFonts w:ascii="Arial" w:eastAsia="Times New Roman" w:hAnsi="Arial" w:cs="Arial"/>
          <w:sz w:val="24"/>
          <w:szCs w:val="24"/>
          <w:lang w:val="en-US"/>
        </w:rPr>
        <w:t xml:space="preserve">eport by the Independent Actuary. </w:t>
      </w:r>
      <w:hyperlink w:history="1"/>
    </w:p>
    <w:p w14:paraId="2E7E6A69" w14:textId="350EA0B1" w:rsidR="0034133F" w:rsidRDefault="0034133F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EA2150E" w14:textId="66C20870" w:rsidR="0017472C" w:rsidRPr="0017472C" w:rsidRDefault="0017472C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17472C">
        <w:rPr>
          <w:rFonts w:ascii="Arial" w:eastAsia="Times New Roman" w:hAnsi="Arial" w:cs="Arial"/>
          <w:b/>
          <w:sz w:val="24"/>
          <w:szCs w:val="24"/>
          <w:lang w:val="en-US"/>
        </w:rPr>
        <w:t xml:space="preserve">What should I do if I want to submit representation regarding the transfer? </w:t>
      </w:r>
    </w:p>
    <w:p w14:paraId="01856AB8" w14:textId="77777777" w:rsidR="002D76E1" w:rsidRDefault="00E02ABB" w:rsidP="00E02ABB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02ABB">
        <w:rPr>
          <w:rFonts w:ascii="Arial" w:eastAsia="Times New Roman" w:hAnsi="Arial" w:cs="Arial"/>
          <w:sz w:val="24"/>
          <w:szCs w:val="24"/>
          <w:lang w:val="en-US"/>
        </w:rPr>
        <w:t xml:space="preserve">If you have any concerns and would like to make any representations about the Proposed Transfer, you may contact the Prudential Authority on the contact details provided below. </w:t>
      </w:r>
    </w:p>
    <w:p w14:paraId="4CF712B5" w14:textId="6509A825" w:rsidR="00E02ABB" w:rsidRPr="00E02ABB" w:rsidRDefault="00E02ABB" w:rsidP="00E02ABB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02ABB">
        <w:rPr>
          <w:rFonts w:ascii="Arial" w:eastAsia="Times New Roman" w:hAnsi="Arial" w:cs="Arial"/>
          <w:sz w:val="24"/>
          <w:szCs w:val="24"/>
          <w:lang w:val="en-US"/>
        </w:rPr>
        <w:t>This must be done within 15 days of the date of publication of the Proposed Transfer notic</w:t>
      </w:r>
      <w:r w:rsidR="001E039D">
        <w:rPr>
          <w:rFonts w:ascii="Arial" w:eastAsia="Times New Roman" w:hAnsi="Arial" w:cs="Arial"/>
          <w:sz w:val="24"/>
          <w:szCs w:val="24"/>
          <w:lang w:val="en-US"/>
        </w:rPr>
        <w:t>e in the Government Gazette on 20 March 2020</w:t>
      </w:r>
      <w:bookmarkStart w:id="0" w:name="_GoBack"/>
      <w:bookmarkEnd w:id="0"/>
      <w:r w:rsidRPr="00E02ABB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7679932B" w14:textId="77777777" w:rsidR="002D76E1" w:rsidRPr="00947172" w:rsidRDefault="002D76E1" w:rsidP="002D76E1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47172">
        <w:rPr>
          <w:rFonts w:ascii="Arial" w:eastAsia="Times New Roman" w:hAnsi="Arial" w:cs="Arial"/>
          <w:sz w:val="24"/>
          <w:szCs w:val="24"/>
          <w:lang w:val="en-US"/>
        </w:rPr>
        <w:t xml:space="preserve">Please direct all </w:t>
      </w:r>
      <w:r>
        <w:rPr>
          <w:rFonts w:ascii="Arial" w:eastAsia="Times New Roman" w:hAnsi="Arial" w:cs="Arial"/>
          <w:sz w:val="24"/>
          <w:szCs w:val="24"/>
          <w:lang w:val="en-US"/>
        </w:rPr>
        <w:t>queries</w:t>
      </w:r>
      <w:r w:rsidRPr="00947172">
        <w:rPr>
          <w:rFonts w:ascii="Arial" w:eastAsia="Times New Roman" w:hAnsi="Arial" w:cs="Arial"/>
          <w:sz w:val="24"/>
          <w:szCs w:val="24"/>
          <w:lang w:val="en-US"/>
        </w:rPr>
        <w:t xml:space="preserve"> to the Prudential Authority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14:paraId="310FC079" w14:textId="77777777" w:rsidR="002D76E1" w:rsidRPr="00073DA8" w:rsidRDefault="002D76E1" w:rsidP="002D76E1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73DA8">
        <w:rPr>
          <w:rFonts w:ascii="Arial" w:eastAsia="Times New Roman" w:hAnsi="Arial" w:cs="Arial"/>
          <w:sz w:val="24"/>
          <w:szCs w:val="24"/>
          <w:lang w:val="en-US"/>
        </w:rPr>
        <w:t>Email: SARB-PA@resbank.co.za</w:t>
      </w:r>
    </w:p>
    <w:p w14:paraId="4457B281" w14:textId="77777777" w:rsidR="002D76E1" w:rsidRPr="00947172" w:rsidRDefault="002D76E1" w:rsidP="002D76E1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7172">
        <w:rPr>
          <w:rFonts w:ascii="Arial" w:eastAsia="Times New Roman" w:hAnsi="Arial" w:cs="Arial"/>
          <w:sz w:val="24"/>
          <w:szCs w:val="24"/>
        </w:rPr>
        <w:t xml:space="preserve">Fax number: 012 313 3197 </w:t>
      </w:r>
    </w:p>
    <w:p w14:paraId="7367E2D1" w14:textId="77777777" w:rsidR="002D76E1" w:rsidRPr="00947172" w:rsidRDefault="002D76E1" w:rsidP="002D76E1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47172">
        <w:rPr>
          <w:rFonts w:ascii="Arial" w:eastAsia="Times New Roman" w:hAnsi="Arial" w:cs="Arial"/>
          <w:sz w:val="24"/>
          <w:szCs w:val="24"/>
        </w:rPr>
        <w:t>Postal address: P.O. Box 427, Pretoria, 0001</w:t>
      </w:r>
    </w:p>
    <w:p w14:paraId="4115F8BB" w14:textId="311324B2" w:rsidR="0017472C" w:rsidRDefault="0017472C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02BD048" w14:textId="77777777" w:rsidR="00C70A2C" w:rsidRPr="004E47CC" w:rsidRDefault="00C70A2C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E47CC">
        <w:rPr>
          <w:rFonts w:ascii="Arial" w:eastAsia="Times New Roman" w:hAnsi="Arial" w:cs="Arial"/>
          <w:b/>
          <w:sz w:val="24"/>
          <w:szCs w:val="24"/>
          <w:lang w:val="en-US"/>
        </w:rPr>
        <w:t xml:space="preserve">Who can I contact for more information? </w:t>
      </w:r>
    </w:p>
    <w:p w14:paraId="5BE25869" w14:textId="63B74773" w:rsidR="003102FF" w:rsidRPr="003102FF" w:rsidRDefault="003102FF" w:rsidP="003102FF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3102FF">
        <w:rPr>
          <w:rFonts w:ascii="Arial" w:eastAsia="Times New Roman" w:hAnsi="Arial" w:cs="Arial"/>
          <w:sz w:val="24"/>
          <w:szCs w:val="24"/>
          <w:lang w:val="en-US"/>
        </w:rPr>
        <w:t xml:space="preserve">Please direct all queries to </w:t>
      </w:r>
      <w:r w:rsidR="00DC29D6">
        <w:rPr>
          <w:rFonts w:ascii="Arial" w:eastAsia="Times New Roman" w:hAnsi="Arial" w:cs="Arial"/>
          <w:sz w:val="24"/>
          <w:szCs w:val="24"/>
          <w:lang w:val="en-US"/>
        </w:rPr>
        <w:t xml:space="preserve">the Channel Life </w:t>
      </w:r>
      <w:r w:rsidR="002D76E1">
        <w:rPr>
          <w:rFonts w:ascii="Arial" w:eastAsia="Times New Roman" w:hAnsi="Arial" w:cs="Arial"/>
          <w:sz w:val="24"/>
          <w:szCs w:val="24"/>
          <w:lang w:val="en-US"/>
        </w:rPr>
        <w:t>C</w:t>
      </w:r>
      <w:r w:rsidR="00DC29D6">
        <w:rPr>
          <w:rFonts w:ascii="Arial" w:eastAsia="Times New Roman" w:hAnsi="Arial" w:cs="Arial"/>
          <w:sz w:val="24"/>
          <w:szCs w:val="24"/>
          <w:lang w:val="en-US"/>
        </w:rPr>
        <w:t xml:space="preserve">all </w:t>
      </w:r>
      <w:r w:rsidR="002D76E1">
        <w:rPr>
          <w:rFonts w:ascii="Arial" w:eastAsia="Times New Roman" w:hAnsi="Arial" w:cs="Arial"/>
          <w:sz w:val="24"/>
          <w:szCs w:val="24"/>
          <w:lang w:val="en-US"/>
        </w:rPr>
        <w:t>C</w:t>
      </w:r>
      <w:r w:rsidR="00DC29D6">
        <w:rPr>
          <w:rFonts w:ascii="Arial" w:eastAsia="Times New Roman" w:hAnsi="Arial" w:cs="Arial"/>
          <w:sz w:val="24"/>
          <w:szCs w:val="24"/>
          <w:lang w:val="en-US"/>
        </w:rPr>
        <w:t xml:space="preserve">entre </w:t>
      </w:r>
      <w:r w:rsidRPr="003102FF">
        <w:rPr>
          <w:rFonts w:ascii="Arial" w:eastAsia="Times New Roman" w:hAnsi="Arial" w:cs="Arial"/>
          <w:sz w:val="24"/>
          <w:szCs w:val="24"/>
          <w:lang w:val="en-US"/>
        </w:rPr>
        <w:t>on 08</w:t>
      </w:r>
      <w:r w:rsidR="00DC29D6">
        <w:rPr>
          <w:rFonts w:ascii="Arial" w:eastAsia="Times New Roman" w:hAnsi="Arial" w:cs="Arial"/>
          <w:sz w:val="24"/>
          <w:szCs w:val="24"/>
          <w:lang w:val="en-US"/>
        </w:rPr>
        <w:t>6</w:t>
      </w:r>
      <w:r w:rsidR="002D76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C29D6">
        <w:rPr>
          <w:rFonts w:ascii="Arial" w:eastAsia="Times New Roman" w:hAnsi="Arial" w:cs="Arial"/>
          <w:sz w:val="24"/>
          <w:szCs w:val="24"/>
          <w:lang w:val="en-US"/>
        </w:rPr>
        <w:t>048</w:t>
      </w:r>
      <w:r w:rsidR="002D76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C29D6">
        <w:rPr>
          <w:rFonts w:ascii="Arial" w:eastAsia="Times New Roman" w:hAnsi="Arial" w:cs="Arial"/>
          <w:sz w:val="24"/>
          <w:szCs w:val="24"/>
          <w:lang w:val="en-US"/>
        </w:rPr>
        <w:t>0000.</w:t>
      </w:r>
      <w:r w:rsidRPr="003102F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14:paraId="15669089" w14:textId="77777777" w:rsidR="00C70A2C" w:rsidRDefault="00C70A2C" w:rsidP="00C70A2C">
      <w:pPr>
        <w:suppressAutoHyphens/>
        <w:spacing w:before="180" w:after="4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1AC389D3" w14:textId="4EE306C1" w:rsidR="00CB6AB5" w:rsidRDefault="00CB6AB5"/>
    <w:sectPr w:rsidR="00CB6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047E"/>
    <w:multiLevelType w:val="hybridMultilevel"/>
    <w:tmpl w:val="306C1ADE"/>
    <w:lvl w:ilvl="0" w:tplc="1C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529700E"/>
    <w:multiLevelType w:val="hybridMultilevel"/>
    <w:tmpl w:val="4A7CE5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00D0"/>
    <w:multiLevelType w:val="hybridMultilevel"/>
    <w:tmpl w:val="C39234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2C"/>
    <w:rsid w:val="00051679"/>
    <w:rsid w:val="00060BB3"/>
    <w:rsid w:val="000846CB"/>
    <w:rsid w:val="000C7817"/>
    <w:rsid w:val="00111420"/>
    <w:rsid w:val="0017472C"/>
    <w:rsid w:val="00181099"/>
    <w:rsid w:val="00197112"/>
    <w:rsid w:val="001B2E75"/>
    <w:rsid w:val="001E039D"/>
    <w:rsid w:val="002D76E1"/>
    <w:rsid w:val="0030349F"/>
    <w:rsid w:val="003102FF"/>
    <w:rsid w:val="0034133F"/>
    <w:rsid w:val="004E479F"/>
    <w:rsid w:val="004E47CC"/>
    <w:rsid w:val="005005E2"/>
    <w:rsid w:val="00611AD8"/>
    <w:rsid w:val="00626E92"/>
    <w:rsid w:val="0062782B"/>
    <w:rsid w:val="00646D59"/>
    <w:rsid w:val="00681B74"/>
    <w:rsid w:val="00720758"/>
    <w:rsid w:val="007950F4"/>
    <w:rsid w:val="007A09A1"/>
    <w:rsid w:val="007A785A"/>
    <w:rsid w:val="008162A2"/>
    <w:rsid w:val="008902AF"/>
    <w:rsid w:val="008F20AD"/>
    <w:rsid w:val="00933886"/>
    <w:rsid w:val="009B0022"/>
    <w:rsid w:val="009B036C"/>
    <w:rsid w:val="009D1BA9"/>
    <w:rsid w:val="009D26D6"/>
    <w:rsid w:val="00A01708"/>
    <w:rsid w:val="00A177C6"/>
    <w:rsid w:val="00A7157E"/>
    <w:rsid w:val="00A950C5"/>
    <w:rsid w:val="00AB46AE"/>
    <w:rsid w:val="00B62B88"/>
    <w:rsid w:val="00B92609"/>
    <w:rsid w:val="00B9314A"/>
    <w:rsid w:val="00BA464E"/>
    <w:rsid w:val="00BA4CE0"/>
    <w:rsid w:val="00BB2521"/>
    <w:rsid w:val="00C70A2C"/>
    <w:rsid w:val="00C810AF"/>
    <w:rsid w:val="00CB6AB5"/>
    <w:rsid w:val="00CF1631"/>
    <w:rsid w:val="00D3626F"/>
    <w:rsid w:val="00D90A23"/>
    <w:rsid w:val="00DC29D6"/>
    <w:rsid w:val="00DE5764"/>
    <w:rsid w:val="00E02ABB"/>
    <w:rsid w:val="00E10DF6"/>
    <w:rsid w:val="00E54DBC"/>
    <w:rsid w:val="00EA06E8"/>
    <w:rsid w:val="00EB798D"/>
    <w:rsid w:val="00F256C2"/>
    <w:rsid w:val="00F37BF1"/>
    <w:rsid w:val="00F709F5"/>
    <w:rsid w:val="00F74C56"/>
    <w:rsid w:val="00F7690D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6487"/>
  <w15:docId w15:val="{FDD980BF-904B-460F-879F-04AB8326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720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7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5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931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sanlam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Stage xmlns="d9669277-d8e1-454e-b7a6-8d8bc8740560">Planning</Project_x0020_Stage>
    <Report_x0020_Date xmlns="d9669277-d8e1-454e-b7a6-8d8bc8740560">2019-06-26T22:00:00+00:00</Report_x0020_Date>
    <Project_x0020_Author xmlns="d9669277-d8e1-454e-b7a6-8d8bc8740560">
      <UserInfo>
        <DisplayName>Taher Mahomed (SanlamSky)</DisplayName>
        <AccountId>3502</AccountId>
        <AccountType/>
      </UserInfo>
    </Project_x0020_Author>
    <Document_x0020_Type xmlns="d9669277-d8e1-454e-b7a6-8d8bc8740560">Communication Plan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3831F6851A49ABBC99A616E1ED2C" ma:contentTypeVersion="5" ma:contentTypeDescription="Create a new document." ma:contentTypeScope="" ma:versionID="6606376a3c4d9d9537d10a125f418f41">
  <xsd:schema xmlns:xsd="http://www.w3.org/2001/XMLSchema" xmlns:xs="http://www.w3.org/2001/XMLSchema" xmlns:p="http://schemas.microsoft.com/office/2006/metadata/properties" xmlns:ns2="d9669277-d8e1-454e-b7a6-8d8bc8740560" targetNamespace="http://schemas.microsoft.com/office/2006/metadata/properties" ma:root="true" ma:fieldsID="c151e064b1b1874f9bc4d556f10da129" ns2:_="">
    <xsd:import namespace="d9669277-d8e1-454e-b7a6-8d8bc8740560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Report_x0020_Date"/>
                <xsd:element ref="ns2:Project_x0020_Author" minOccurs="0"/>
                <xsd:element ref="ns2:Project_x0020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69277-d8e1-454e-b7a6-8d8bc874056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BRD" ma:format="Dropdown" ma:internalName="Document_x0020_Type">
      <xsd:simpleType>
        <xsd:restriction base="dms:Choice">
          <xsd:enumeration value="BRD"/>
          <xsd:enumeration value="Sign-Off Matrix"/>
          <xsd:enumeration value="Test Plan"/>
          <xsd:enumeration value="Communication Plan"/>
          <xsd:enumeration value="Deployment Plan"/>
          <xsd:enumeration value="Project Schedule"/>
          <xsd:enumeration value="Project Dashboard"/>
          <xsd:enumeration value="Meeting Minutes"/>
          <xsd:enumeration value="Scope Change"/>
          <xsd:enumeration value="Product Specification"/>
          <xsd:enumeration value="Analysis Documents"/>
          <xsd:enumeration value="Project Proposal"/>
          <xsd:enumeration value="Business Case"/>
          <xsd:enumeration value="Project Charter"/>
          <xsd:enumeration value="Project Closure Document"/>
          <xsd:enumeration value="Stakeholder Engagement Matrix"/>
        </xsd:restriction>
      </xsd:simpleType>
    </xsd:element>
    <xsd:element name="Report_x0020_Date" ma:index="9" ma:displayName="Report Date" ma:format="DateOnly" ma:internalName="Report_x0020_Date">
      <xsd:simpleType>
        <xsd:restriction base="dms:DateTime"/>
      </xsd:simpleType>
    </xsd:element>
    <xsd:element name="Project_x0020_Author" ma:index="10" nillable="true" ma:displayName="Project Author" ma:list="UserInfo" ma:SearchPeopleOnly="false" ma:SharePointGroup="0" ma:internalName="Projec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Stage" ma:index="11" nillable="true" ma:displayName="Project Stage" ma:default="Pre-Initiate" ma:format="Dropdown" ma:internalName="Project_x0020_Stage">
      <xsd:simpleType>
        <xsd:restriction base="dms:Choice">
          <xsd:enumeration value="Pre-Initiate"/>
          <xsd:enumeration value="Initiate"/>
          <xsd:enumeration value="Planning"/>
          <xsd:enumeration value="Execute"/>
          <xsd:enumeration value="Clos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F7A1B-DD62-4E54-B453-025D75C453E1}">
  <ds:schemaRefs>
    <ds:schemaRef ds:uri="http://schemas.microsoft.com/office/2006/metadata/properties"/>
    <ds:schemaRef ds:uri="http://schemas.microsoft.com/office/infopath/2007/PartnerControls"/>
    <ds:schemaRef ds:uri="d9669277-d8e1-454e-b7a6-8d8bc8740560"/>
  </ds:schemaRefs>
</ds:datastoreItem>
</file>

<file path=customXml/itemProps2.xml><?xml version="1.0" encoding="utf-8"?>
<ds:datastoreItem xmlns:ds="http://schemas.openxmlformats.org/officeDocument/2006/customXml" ds:itemID="{F02D8DFF-8A80-43CB-9398-3D70D30A5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69277-d8e1-454e-b7a6-8d8bc8740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70301-5C4B-4271-86E8-3B15FB98A3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C9E0A-30D1-4941-84F1-8C69F691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FAQ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subject/>
  <dc:creator>Elmi Kemp (SanlamSky)</dc:creator>
  <cp:keywords/>
  <dc:description/>
  <cp:lastModifiedBy>Mona Jutha (SanlamSky)</cp:lastModifiedBy>
  <cp:revision>2</cp:revision>
  <cp:lastPrinted>2019-07-17T12:23:00Z</cp:lastPrinted>
  <dcterms:created xsi:type="dcterms:W3CDTF">2020-03-12T06:47:00Z</dcterms:created>
  <dcterms:modified xsi:type="dcterms:W3CDTF">2020-03-12T06:47:00Z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0x0101000A523831F6851A49ABBC99A616E1ED2C</vt:lpwstr>
  </property>
</Properties>
</file>